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4A3F" w14:textId="77777777" w:rsidR="00F0232C" w:rsidRDefault="00F0232C" w:rsidP="00F0232C">
      <w:pPr>
        <w:jc w:val="center"/>
        <w:rPr>
          <w:b/>
          <w:sz w:val="28"/>
          <w:szCs w:val="28"/>
        </w:rPr>
      </w:pPr>
      <w:r>
        <w:rPr>
          <w:b/>
          <w:sz w:val="28"/>
          <w:szCs w:val="28"/>
        </w:rPr>
        <w:t>OUR GIVING</w:t>
      </w:r>
    </w:p>
    <w:p w14:paraId="3AFF13DA" w14:textId="77777777" w:rsidR="00F0232C" w:rsidRDefault="00F0232C" w:rsidP="00F0232C">
      <w:pPr>
        <w:jc w:val="center"/>
        <w:rPr>
          <w:b/>
          <w:sz w:val="28"/>
          <w:szCs w:val="28"/>
        </w:rPr>
      </w:pPr>
      <w:r>
        <w:rPr>
          <w:b/>
          <w:sz w:val="28"/>
          <w:szCs w:val="28"/>
        </w:rPr>
        <w:t xml:space="preserve"> REVEALS</w:t>
      </w:r>
    </w:p>
    <w:p w14:paraId="66A9582D" w14:textId="77777777" w:rsidR="00F0232C" w:rsidRDefault="00F0232C" w:rsidP="00F0232C">
      <w:pPr>
        <w:jc w:val="center"/>
        <w:rPr>
          <w:b/>
          <w:sz w:val="28"/>
          <w:szCs w:val="28"/>
        </w:rPr>
      </w:pPr>
      <w:r>
        <w:rPr>
          <w:b/>
          <w:sz w:val="28"/>
          <w:szCs w:val="28"/>
        </w:rPr>
        <w:t>-----</w:t>
      </w:r>
    </w:p>
    <w:p w14:paraId="09A8A937" w14:textId="77777777" w:rsidR="00F0232C" w:rsidRDefault="00F0232C" w:rsidP="00F0232C">
      <w:pPr>
        <w:jc w:val="center"/>
        <w:rPr>
          <w:b/>
          <w:sz w:val="28"/>
          <w:szCs w:val="28"/>
        </w:rPr>
      </w:pPr>
      <w:r>
        <w:rPr>
          <w:b/>
          <w:sz w:val="28"/>
          <w:szCs w:val="28"/>
        </w:rPr>
        <w:t>THE GIVER’S GRATITUDE</w:t>
      </w:r>
    </w:p>
    <w:p w14:paraId="267067EB" w14:textId="77777777" w:rsidR="00F0232C" w:rsidRDefault="00F0232C" w:rsidP="00F0232C">
      <w:pPr>
        <w:jc w:val="center"/>
        <w:rPr>
          <w:b/>
          <w:szCs w:val="24"/>
        </w:rPr>
      </w:pPr>
    </w:p>
    <w:p w14:paraId="414F5A0B" w14:textId="77777777" w:rsidR="00F0232C" w:rsidRDefault="00F0232C" w:rsidP="00F0232C">
      <w:pPr>
        <w:ind w:left="720"/>
        <w:rPr>
          <w:b/>
          <w:szCs w:val="24"/>
        </w:rPr>
      </w:pPr>
    </w:p>
    <w:p w14:paraId="1C3E3044" w14:textId="77777777" w:rsidR="00F0232C" w:rsidRDefault="00F0232C" w:rsidP="00F0232C">
      <w:pPr>
        <w:rPr>
          <w:b/>
          <w:szCs w:val="24"/>
        </w:rPr>
      </w:pPr>
      <w:r>
        <w:rPr>
          <w:b/>
          <w:szCs w:val="24"/>
        </w:rPr>
        <w:t>Food For Thought</w:t>
      </w:r>
    </w:p>
    <w:p w14:paraId="18CE5322" w14:textId="77777777" w:rsidR="00F0232C" w:rsidRDefault="00F0232C" w:rsidP="00F0232C">
      <w:pPr>
        <w:overflowPunct/>
        <w:ind w:left="720"/>
        <w:textAlignment w:val="auto"/>
        <w:rPr>
          <w:szCs w:val="24"/>
        </w:rPr>
      </w:pPr>
      <w:r>
        <w:rPr>
          <w:szCs w:val="24"/>
        </w:rPr>
        <w:t>Ten lepers stood by the side of the road, at a distance, calling in a loud voice to Jesus for mercy and grace. Ten lepers demonstrated their faith by following Jesus’ instruction that they behave as if they were healed even before their healing visibly manifested itself. Ten lepers received a miracle and yet only one returned to acknowledge his healing. Only one threw himself at Jesus’ feet. Only one used his loud voice to render praise and thanksgiving. Seeing this, Jesus asked his disciples “Were not all ten cleansed? Where are the other nine?” (Luke 17:17 ) This biblical story reminds me that each day, each one of us should consider whether we are more like the one or more like the nine?</w:t>
      </w:r>
    </w:p>
    <w:p w14:paraId="3E57FC32" w14:textId="77777777" w:rsidR="00F0232C" w:rsidRDefault="00F0232C" w:rsidP="00F0232C">
      <w:pPr>
        <w:pStyle w:val="Heading3"/>
        <w:rPr>
          <w:b/>
          <w:bCs/>
          <w:sz w:val="24"/>
          <w:szCs w:val="24"/>
        </w:rPr>
      </w:pPr>
      <w:bookmarkStart w:id="0" w:name="_Toc101490124"/>
    </w:p>
    <w:p w14:paraId="5072D085" w14:textId="77777777" w:rsidR="00F0232C" w:rsidRPr="00620276" w:rsidRDefault="00F0232C" w:rsidP="00F0232C">
      <w:pPr>
        <w:pStyle w:val="Heading3"/>
        <w:rPr>
          <w:b/>
          <w:bCs/>
          <w:color w:val="000000" w:themeColor="text1"/>
          <w:sz w:val="24"/>
          <w:szCs w:val="24"/>
        </w:rPr>
      </w:pPr>
      <w:r w:rsidRPr="00620276">
        <w:rPr>
          <w:b/>
          <w:bCs/>
          <w:color w:val="000000" w:themeColor="text1"/>
          <w:sz w:val="24"/>
          <w:szCs w:val="24"/>
        </w:rPr>
        <w:t>Reference Scriptures</w:t>
      </w:r>
      <w:bookmarkEnd w:id="0"/>
    </w:p>
    <w:p w14:paraId="5FB66DA9" w14:textId="77777777" w:rsidR="00F0232C" w:rsidRDefault="00F0232C" w:rsidP="00F0232C">
      <w:pPr>
        <w:ind w:left="720"/>
        <w:rPr>
          <w:szCs w:val="24"/>
        </w:rPr>
      </w:pPr>
      <w:r>
        <w:rPr>
          <w:szCs w:val="24"/>
        </w:rPr>
        <w:t>Luke 19: 1-10</w:t>
      </w:r>
    </w:p>
    <w:p w14:paraId="7499C315" w14:textId="77777777" w:rsidR="00F0232C" w:rsidRDefault="00F0232C" w:rsidP="00F0232C">
      <w:pPr>
        <w:ind w:left="720"/>
        <w:rPr>
          <w:szCs w:val="24"/>
        </w:rPr>
      </w:pPr>
      <w:r>
        <w:rPr>
          <w:szCs w:val="24"/>
        </w:rPr>
        <w:t>John 12: 1-8</w:t>
      </w:r>
    </w:p>
    <w:p w14:paraId="49DE02E6" w14:textId="77777777" w:rsidR="00F0232C" w:rsidRDefault="00F0232C" w:rsidP="00F0232C">
      <w:pPr>
        <w:ind w:left="720"/>
        <w:jc w:val="both"/>
        <w:rPr>
          <w:szCs w:val="24"/>
        </w:rPr>
      </w:pPr>
    </w:p>
    <w:p w14:paraId="65221E93" w14:textId="77777777" w:rsidR="00F0232C" w:rsidRDefault="00F0232C" w:rsidP="00F0232C">
      <w:pPr>
        <w:jc w:val="both"/>
        <w:rPr>
          <w:b/>
          <w:szCs w:val="24"/>
        </w:rPr>
      </w:pPr>
      <w:r>
        <w:rPr>
          <w:b/>
          <w:szCs w:val="24"/>
        </w:rPr>
        <w:t>Connecting The Dots – What God has allowed me to see</w:t>
      </w:r>
    </w:p>
    <w:p w14:paraId="68FBD241" w14:textId="77777777" w:rsidR="00F0232C" w:rsidRDefault="00F0232C" w:rsidP="00F0232C">
      <w:pPr>
        <w:ind w:left="720"/>
        <w:rPr>
          <w:szCs w:val="24"/>
        </w:rPr>
      </w:pPr>
      <w:r>
        <w:rPr>
          <w:szCs w:val="24"/>
        </w:rPr>
        <w:t xml:space="preserve">In Luke 19, we are told the story of Zacchaeus’ encounter with Jesus. Given his position as chief tax collector, Zacchaeus was held in disdain by his fellow Jews. He both assisted the Roman government in their oppression of his people and then added to the oppression by forcing the people to pay higher taxes than </w:t>
      </w:r>
      <w:proofErr w:type="gramStart"/>
      <w:r>
        <w:rPr>
          <w:szCs w:val="24"/>
        </w:rPr>
        <w:t>actually required</w:t>
      </w:r>
      <w:proofErr w:type="gramEnd"/>
      <w:r>
        <w:rPr>
          <w:szCs w:val="24"/>
        </w:rPr>
        <w:t xml:space="preserve">. Zacchaeus was a social outcast, yet Jesus extends to him both acceptance and redemption. Jesus extended his mercy and grace to Zacchaeus without being asked, for He knew Zacchaeus’ need. What a gift! In response to Jesus, Zacchaeus offers to give half his wealth to the poor and repay four-fold to all he had cheated. What a response! Zacchaeus chose to demonstrate his gratitude in a visible way. His response served not only as a personal statement of thanksgiving, but also as a public testimony to the Lord’s goodness. </w:t>
      </w:r>
    </w:p>
    <w:p w14:paraId="1FBDF430" w14:textId="77777777" w:rsidR="00F0232C" w:rsidRDefault="00F0232C" w:rsidP="00F0232C">
      <w:pPr>
        <w:ind w:left="720"/>
        <w:rPr>
          <w:szCs w:val="24"/>
        </w:rPr>
      </w:pPr>
    </w:p>
    <w:p w14:paraId="554D907B" w14:textId="77777777" w:rsidR="00F0232C" w:rsidRDefault="00F0232C" w:rsidP="00F0232C">
      <w:pPr>
        <w:keepLines/>
        <w:overflowPunct/>
        <w:ind w:left="720"/>
        <w:textAlignment w:val="auto"/>
        <w:rPr>
          <w:szCs w:val="24"/>
        </w:rPr>
      </w:pPr>
      <w:proofErr w:type="gramStart"/>
      <w:r>
        <w:rPr>
          <w:szCs w:val="24"/>
        </w:rPr>
        <w:t>In,</w:t>
      </w:r>
      <w:proofErr w:type="gramEnd"/>
      <w:r>
        <w:rPr>
          <w:szCs w:val="24"/>
        </w:rPr>
        <w:t xml:space="preserve"> the second reference scripture we see an example of gratitude that motivates offerings of more than just the giver’s physical possessions. A dinner was held in Jesus’ honor in the hometown of Lazarus and his sisters Mary and Martha (Bethany). Mary took an expensive perfume and anointed Jesus.  It is clear in the scriptures that Mary was a worshiper of Jesus. During an earlier visit to Martha’s home by Jesus (Luke 10: 38-42), we find Mary sitting at Jesus’ feet and listening to his every word. Martha questions Mary’s actions, but Jesus commends them.</w:t>
      </w:r>
    </w:p>
    <w:p w14:paraId="1BAC9D9F" w14:textId="77777777" w:rsidR="00F0232C" w:rsidRDefault="00F0232C" w:rsidP="00F0232C">
      <w:pPr>
        <w:rPr>
          <w:szCs w:val="24"/>
        </w:rPr>
      </w:pPr>
    </w:p>
    <w:p w14:paraId="4827958F" w14:textId="77777777" w:rsidR="00F0232C" w:rsidRDefault="00F0232C" w:rsidP="00F0232C">
      <w:pPr>
        <w:overflowPunct/>
        <w:ind w:left="720"/>
        <w:textAlignment w:val="auto"/>
        <w:rPr>
          <w:b/>
          <w:bCs/>
          <w:szCs w:val="24"/>
        </w:rPr>
      </w:pPr>
    </w:p>
    <w:p w14:paraId="31A15CA7" w14:textId="77777777" w:rsidR="00F0232C" w:rsidRDefault="00F0232C" w:rsidP="00F0232C">
      <w:pPr>
        <w:overflowPunct/>
        <w:ind w:left="720"/>
        <w:textAlignment w:val="auto"/>
        <w:rPr>
          <w:b/>
          <w:bCs/>
          <w:szCs w:val="24"/>
        </w:rPr>
      </w:pPr>
    </w:p>
    <w:p w14:paraId="166C3402" w14:textId="77777777" w:rsidR="00F0232C" w:rsidRDefault="00F0232C" w:rsidP="00F0232C">
      <w:pPr>
        <w:overflowPunct/>
        <w:ind w:left="720"/>
        <w:textAlignment w:val="auto"/>
      </w:pPr>
      <w:r>
        <w:rPr>
          <w:b/>
          <w:bCs/>
          <w:szCs w:val="24"/>
        </w:rPr>
        <w:lastRenderedPageBreak/>
        <w:t>Luke10:41&amp;42</w:t>
      </w:r>
      <w:r>
        <w:rPr>
          <w:b/>
          <w:bCs/>
          <w:szCs w:val="24"/>
        </w:rPr>
        <w:br/>
      </w:r>
      <w:bookmarkStart w:id="1" w:name="41"/>
      <w:bookmarkEnd w:id="1"/>
      <w:r>
        <w:rPr>
          <w:szCs w:val="24"/>
          <w:shd w:val="clear" w:color="auto" w:fill="FFFFFF"/>
          <w:vertAlign w:val="superscript"/>
          <w:lang w:eastAsia="en-US"/>
        </w:rPr>
        <w:t>Lk 10:41</w:t>
      </w:r>
      <w:r>
        <w:rPr>
          <w:szCs w:val="24"/>
          <w:shd w:val="clear" w:color="auto" w:fill="FFFFFF"/>
          <w:lang w:eastAsia="en-US"/>
        </w:rPr>
        <w:t xml:space="preserve"> </w:t>
      </w:r>
      <w:r>
        <w:rPr>
          <w:color w:val="FF0000"/>
          <w:szCs w:val="24"/>
          <w:shd w:val="clear" w:color="auto" w:fill="FFFFFF"/>
          <w:lang w:eastAsia="en-US"/>
        </w:rPr>
        <w:t xml:space="preserve">“Martha, Martha,” </w:t>
      </w:r>
      <w:r>
        <w:rPr>
          <w:szCs w:val="24"/>
          <w:shd w:val="clear" w:color="auto" w:fill="FFFFFF"/>
          <w:lang w:eastAsia="en-US"/>
        </w:rPr>
        <w:t xml:space="preserve">the Lord answered, </w:t>
      </w:r>
      <w:r>
        <w:rPr>
          <w:color w:val="FF0000"/>
          <w:szCs w:val="24"/>
          <w:shd w:val="clear" w:color="auto" w:fill="FFFFFF"/>
          <w:lang w:eastAsia="en-US"/>
        </w:rPr>
        <w:t>“you are worried</w:t>
      </w:r>
      <w:r>
        <w:rPr>
          <w:szCs w:val="24"/>
          <w:shd w:val="clear" w:color="auto" w:fill="FFFFFF"/>
          <w:lang w:eastAsia="en-US"/>
        </w:rPr>
        <w:t xml:space="preserve"> </w:t>
      </w:r>
      <w:r>
        <w:rPr>
          <w:color w:val="FF0000"/>
          <w:szCs w:val="24"/>
          <w:shd w:val="clear" w:color="auto" w:fill="FFFFFF"/>
          <w:lang w:eastAsia="en-US"/>
        </w:rPr>
        <w:t xml:space="preserve">and upset about many things, </w:t>
      </w:r>
      <w:r>
        <w:rPr>
          <w:szCs w:val="24"/>
          <w:shd w:val="clear" w:color="auto" w:fill="FFFFFF"/>
          <w:lang w:eastAsia="en-US"/>
        </w:rPr>
        <w:t xml:space="preserve"> </w:t>
      </w:r>
    </w:p>
    <w:p w14:paraId="5013F330" w14:textId="77777777" w:rsidR="00F0232C" w:rsidRDefault="00F0232C" w:rsidP="00F0232C">
      <w:pPr>
        <w:ind w:left="720"/>
      </w:pPr>
      <w:r>
        <w:rPr>
          <w:szCs w:val="24"/>
          <w:shd w:val="clear" w:color="auto" w:fill="FFFFFF"/>
          <w:vertAlign w:val="superscript"/>
          <w:lang w:eastAsia="en-US"/>
        </w:rPr>
        <w:t>Lk 10:42</w:t>
      </w:r>
      <w:r>
        <w:rPr>
          <w:szCs w:val="24"/>
          <w:shd w:val="clear" w:color="auto" w:fill="FFFFFF"/>
          <w:lang w:eastAsia="en-US"/>
        </w:rPr>
        <w:t xml:space="preserve"> </w:t>
      </w:r>
      <w:r>
        <w:rPr>
          <w:color w:val="FF0000"/>
          <w:szCs w:val="24"/>
          <w:shd w:val="clear" w:color="auto" w:fill="FFFFFF"/>
          <w:lang w:eastAsia="en-US"/>
        </w:rPr>
        <w:t>, but only one thing is needed.</w:t>
      </w:r>
      <w:r>
        <w:rPr>
          <w:szCs w:val="24"/>
          <w:shd w:val="clear" w:color="auto" w:fill="FFFFFF"/>
          <w:vertAlign w:val="superscript"/>
          <w:lang w:eastAsia="en-US"/>
        </w:rPr>
        <w:t xml:space="preserve"> </w:t>
      </w:r>
      <w:r>
        <w:rPr>
          <w:color w:val="FF0000"/>
          <w:szCs w:val="24"/>
          <w:shd w:val="clear" w:color="auto" w:fill="FFFFFF"/>
          <w:lang w:eastAsia="en-US"/>
        </w:rPr>
        <w:t>Mary has chosen what is better, and it will not be taken away from her</w:t>
      </w:r>
    </w:p>
    <w:p w14:paraId="286556B3" w14:textId="77777777" w:rsidR="00F0232C" w:rsidRDefault="00F0232C" w:rsidP="00F0232C">
      <w:pPr>
        <w:rPr>
          <w:szCs w:val="24"/>
        </w:rPr>
      </w:pPr>
    </w:p>
    <w:p w14:paraId="52BBD7D5" w14:textId="77777777" w:rsidR="00F0232C" w:rsidRDefault="00F0232C" w:rsidP="00F0232C">
      <w:pPr>
        <w:ind w:left="720"/>
      </w:pPr>
      <w:r>
        <w:rPr>
          <w:szCs w:val="24"/>
        </w:rPr>
        <w:t>In the passage from the 12</w:t>
      </w:r>
      <w:r>
        <w:rPr>
          <w:szCs w:val="24"/>
          <w:vertAlign w:val="superscript"/>
        </w:rPr>
        <w:t>th</w:t>
      </w:r>
      <w:r>
        <w:rPr>
          <w:szCs w:val="24"/>
        </w:rPr>
        <w:t xml:space="preserve"> chapter of John, Mary’s worship takes the form of an offering, an offering of great value. The perfume was worth about a year’s wage. Why did she give such a gift? Jesus’ comments later (John 12:7) that the anointing served as preparation for his crucifixion and burial. While He knew this to be true, Mary was not aware of those coming events, so maybe her motivation was a little different, more personal. While Mary’s motive is not actually stated, I believe it is implied. Mary’s gift was an offering of thanksgiving, a response of gratitude for Jesus’ amazing act of grace.</w:t>
      </w:r>
    </w:p>
    <w:p w14:paraId="0B53F92C" w14:textId="77777777" w:rsidR="00F0232C" w:rsidRDefault="00F0232C" w:rsidP="00F0232C">
      <w:pPr>
        <w:rPr>
          <w:szCs w:val="24"/>
        </w:rPr>
      </w:pPr>
    </w:p>
    <w:p w14:paraId="2F8ACAF4" w14:textId="77777777" w:rsidR="00F0232C" w:rsidRDefault="00F0232C" w:rsidP="00F0232C">
      <w:pPr>
        <w:overflowPunct/>
        <w:autoSpaceDE/>
        <w:spacing w:after="80"/>
        <w:ind w:left="720"/>
        <w:textAlignment w:val="auto"/>
        <w:rPr>
          <w:szCs w:val="24"/>
        </w:rPr>
      </w:pPr>
      <w:r>
        <w:rPr>
          <w:szCs w:val="24"/>
        </w:rPr>
        <w:t>Mary’s family had experienced more than Jesus’ healing power. They had tasted of His resurrection power. Jesus had not simply healed their sick brother but had revived him after he had been dead for four days and was in the grave. Through Jesus’ actions they experienced levels of joy and faith they had not known before. This was not an accident, for it had been Jesus’ intent to use Lazarus’s illness to deepen His relationship with His followers by deepening their faith. Listen to His words to His disciples when discussing Lazarus prior to going to Bethany to perform the miracle of Lazarus’ resurrection:</w:t>
      </w:r>
    </w:p>
    <w:p w14:paraId="7A98AE6E" w14:textId="77777777" w:rsidR="00F0232C" w:rsidRDefault="00F0232C" w:rsidP="00F0232C">
      <w:pPr>
        <w:rPr>
          <w:szCs w:val="24"/>
        </w:rPr>
      </w:pPr>
    </w:p>
    <w:p w14:paraId="4E68B037" w14:textId="77777777" w:rsidR="00F0232C" w:rsidRDefault="00F0232C" w:rsidP="00F0232C">
      <w:pPr>
        <w:overflowPunct/>
        <w:autoSpaceDE/>
        <w:ind w:firstLine="720"/>
        <w:textAlignment w:val="auto"/>
      </w:pPr>
      <w:r>
        <w:rPr>
          <w:b/>
          <w:bCs/>
          <w:color w:val="auto"/>
          <w:szCs w:val="24"/>
          <w:lang w:eastAsia="en-US"/>
        </w:rPr>
        <w:t xml:space="preserve">John 11:14(KJV) </w:t>
      </w:r>
    </w:p>
    <w:p w14:paraId="213D0A5F" w14:textId="77777777" w:rsidR="00F0232C" w:rsidRDefault="00F0232C" w:rsidP="00F0232C">
      <w:pPr>
        <w:keepLines/>
        <w:overflowPunct/>
        <w:ind w:left="720"/>
        <w:textAlignment w:val="auto"/>
      </w:pPr>
      <w:r>
        <w:rPr>
          <w:szCs w:val="24"/>
          <w:shd w:val="clear" w:color="auto" w:fill="FFFFFF"/>
          <w:vertAlign w:val="superscript"/>
          <w:lang w:eastAsia="en-US"/>
        </w:rPr>
        <w:t>Jn 11:14</w:t>
      </w:r>
      <w:r>
        <w:rPr>
          <w:szCs w:val="24"/>
          <w:shd w:val="clear" w:color="auto" w:fill="FFFFFF"/>
          <w:lang w:eastAsia="en-US"/>
        </w:rPr>
        <w:t xml:space="preserve"> So then he told them plainly, </w:t>
      </w:r>
      <w:r>
        <w:rPr>
          <w:color w:val="FF0000"/>
          <w:szCs w:val="24"/>
          <w:shd w:val="clear" w:color="auto" w:fill="FFFFFF"/>
          <w:lang w:eastAsia="en-US"/>
        </w:rPr>
        <w:t xml:space="preserve">“Lazarus is dead, </w:t>
      </w:r>
      <w:r>
        <w:rPr>
          <w:szCs w:val="24"/>
          <w:shd w:val="clear" w:color="auto" w:fill="FFFFFF"/>
          <w:lang w:eastAsia="en-US"/>
        </w:rPr>
        <w:t xml:space="preserve"> </w:t>
      </w:r>
    </w:p>
    <w:p w14:paraId="3DC39090" w14:textId="77777777" w:rsidR="00F0232C" w:rsidRDefault="00F0232C" w:rsidP="00F0232C">
      <w:pPr>
        <w:keepLines/>
        <w:overflowPunct/>
        <w:ind w:left="720"/>
        <w:textAlignment w:val="auto"/>
      </w:pPr>
      <w:r>
        <w:rPr>
          <w:szCs w:val="24"/>
          <w:shd w:val="clear" w:color="auto" w:fill="FFFFFF"/>
          <w:vertAlign w:val="superscript"/>
          <w:lang w:eastAsia="en-US"/>
        </w:rPr>
        <w:t>Jn 11:15</w:t>
      </w:r>
      <w:r>
        <w:rPr>
          <w:szCs w:val="24"/>
          <w:shd w:val="clear" w:color="auto" w:fill="FFFFFF"/>
          <w:lang w:eastAsia="en-US"/>
        </w:rPr>
        <w:t xml:space="preserve"> </w:t>
      </w:r>
      <w:r>
        <w:rPr>
          <w:color w:val="FF0000"/>
          <w:szCs w:val="24"/>
          <w:shd w:val="clear" w:color="auto" w:fill="FFFFFF"/>
          <w:lang w:eastAsia="en-US"/>
        </w:rPr>
        <w:t xml:space="preserve">and for your sake I am glad I was not there, so that you may believe, but let us go to him.” </w:t>
      </w:r>
    </w:p>
    <w:p w14:paraId="128DCB0B" w14:textId="77777777" w:rsidR="00F0232C" w:rsidRDefault="00F0232C" w:rsidP="00F0232C">
      <w:pPr>
        <w:overflowPunct/>
        <w:autoSpaceDE/>
        <w:spacing w:after="80"/>
        <w:ind w:left="720"/>
        <w:textAlignment w:val="auto"/>
        <w:rPr>
          <w:color w:val="auto"/>
          <w:szCs w:val="24"/>
          <w:lang w:eastAsia="en-US"/>
        </w:rPr>
      </w:pPr>
      <w:r>
        <w:rPr>
          <w:color w:val="auto"/>
          <w:szCs w:val="24"/>
          <w:lang w:eastAsia="en-US"/>
        </w:rPr>
        <w:br/>
        <w:t xml:space="preserve">What could be withheld from Jesus </w:t>
      </w:r>
      <w:proofErr w:type="gramStart"/>
      <w:r>
        <w:rPr>
          <w:color w:val="auto"/>
          <w:szCs w:val="24"/>
          <w:lang w:eastAsia="en-US"/>
        </w:rPr>
        <w:t>in light of</w:t>
      </w:r>
      <w:proofErr w:type="gramEnd"/>
      <w:r>
        <w:rPr>
          <w:color w:val="auto"/>
          <w:szCs w:val="24"/>
          <w:lang w:eastAsia="en-US"/>
        </w:rPr>
        <w:t xml:space="preserve"> what he had given? Was there anything too costly to give? Mary chose to withhold nothing. Some theologians believe that the perfume was contained in an alabaster box that once broken open could not be resealed. Once opened, if not used, the perfume would spoil. Therefore, to offer any to Jesus was to offer it all. Yet we see that Mary not only offered the expensive perfume, but herself as well. In Luke 10, we see Mary the worshiper, but not Mary the servant. Martha had been the one to offer service and complained that Mary would not help. Now we see Mary offering service as well, choosing not only to give the gift of the perfume, but also to anoint Jesus herself and to wipe His feet with her hair. Her gratitude had expanded her willingness to give. Look at the progression of her relationship. </w:t>
      </w:r>
      <w:proofErr w:type="gramStart"/>
      <w:r>
        <w:rPr>
          <w:color w:val="auto"/>
          <w:szCs w:val="24"/>
          <w:lang w:eastAsia="en-US"/>
        </w:rPr>
        <w:t>First</w:t>
      </w:r>
      <w:proofErr w:type="gramEnd"/>
      <w:r>
        <w:rPr>
          <w:color w:val="auto"/>
          <w:szCs w:val="24"/>
          <w:lang w:eastAsia="en-US"/>
        </w:rPr>
        <w:t xml:space="preserve"> she gave worship, then she gave of her possessions and finally she gave of herself.</w:t>
      </w:r>
    </w:p>
    <w:p w14:paraId="64B31998" w14:textId="77777777" w:rsidR="00F0232C" w:rsidRDefault="00F0232C" w:rsidP="00F0232C">
      <w:pPr>
        <w:ind w:left="720"/>
        <w:rPr>
          <w:b/>
          <w:szCs w:val="24"/>
        </w:rPr>
      </w:pPr>
    </w:p>
    <w:p w14:paraId="05063DCC" w14:textId="641C2161" w:rsidR="00D93B2A" w:rsidRDefault="00F0232C" w:rsidP="00F0232C">
      <w:pPr>
        <w:ind w:left="720"/>
      </w:pPr>
      <w:r>
        <w:rPr>
          <w:szCs w:val="24"/>
        </w:rPr>
        <w:t xml:space="preserve">God’s grace extends to us gifts of blessings and favor that we do not deserve. When we truly understand the great </w:t>
      </w:r>
      <w:proofErr w:type="gramStart"/>
      <w:r>
        <w:rPr>
          <w:szCs w:val="24"/>
        </w:rPr>
        <w:t>grace</w:t>
      </w:r>
      <w:proofErr w:type="gramEnd"/>
      <w:r>
        <w:rPr>
          <w:szCs w:val="24"/>
        </w:rPr>
        <w:t xml:space="preserve"> we have received from our Lord, it is natural to be overwhelmed with gratitude. When Mary and Zacchaeus experienced the Lord’s grace, their gratitude motivated them to give. The witness of their giving revealed the gratefulness of their heart. In each case, more than the substance of what was given, their gifts had added importance because </w:t>
      </w:r>
      <w:proofErr w:type="gramStart"/>
      <w:r>
        <w:rPr>
          <w:szCs w:val="24"/>
        </w:rPr>
        <w:t>it was</w:t>
      </w:r>
      <w:proofErr w:type="gramEnd"/>
      <w:r>
        <w:rPr>
          <w:szCs w:val="24"/>
        </w:rPr>
        <w:t xml:space="preserve"> </w:t>
      </w:r>
      <w:proofErr w:type="gramStart"/>
      <w:r>
        <w:rPr>
          <w:szCs w:val="24"/>
        </w:rPr>
        <w:t>a witness</w:t>
      </w:r>
      <w:proofErr w:type="gramEnd"/>
      <w:r>
        <w:rPr>
          <w:szCs w:val="24"/>
        </w:rPr>
        <w:t xml:space="preserve"> </w:t>
      </w:r>
      <w:proofErr w:type="gramStart"/>
      <w:r>
        <w:rPr>
          <w:szCs w:val="24"/>
        </w:rPr>
        <w:t>of</w:t>
      </w:r>
      <w:proofErr w:type="gramEnd"/>
      <w:r>
        <w:rPr>
          <w:szCs w:val="24"/>
        </w:rPr>
        <w:t xml:space="preserve"> their thanksgiving. Their giving was important because of what it showed</w:t>
      </w:r>
      <w:r>
        <w:rPr>
          <w:b/>
          <w:szCs w:val="24"/>
        </w:rPr>
        <w:t>.</w:t>
      </w:r>
    </w:p>
    <w:sectPr w:rsidR="00D93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2C"/>
    <w:rsid w:val="00180B11"/>
    <w:rsid w:val="001B45DA"/>
    <w:rsid w:val="00CB0CBB"/>
    <w:rsid w:val="00D93B2A"/>
    <w:rsid w:val="00F0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FED5"/>
  <w15:chartTrackingRefBased/>
  <w15:docId w15:val="{E0C0E6E3-FC18-4DB8-9731-5E2DC192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2C"/>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0"/>
      <w:szCs w:val="20"/>
      <w:lang w:eastAsia="ar-SA"/>
      <w14:ligatures w14:val="none"/>
    </w:rPr>
  </w:style>
  <w:style w:type="paragraph" w:styleId="Heading1">
    <w:name w:val="heading 1"/>
    <w:basedOn w:val="Normal"/>
    <w:next w:val="Normal"/>
    <w:link w:val="Heading1Char"/>
    <w:uiPriority w:val="9"/>
    <w:qFormat/>
    <w:rsid w:val="00F0232C"/>
    <w:pPr>
      <w:keepNext/>
      <w:keepLines/>
      <w:suppressAutoHyphens w:val="0"/>
      <w:overflowPunct/>
      <w:autoSpaceDE/>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0232C"/>
    <w:pPr>
      <w:keepNext/>
      <w:keepLines/>
      <w:suppressAutoHyphens w:val="0"/>
      <w:overflowPunct/>
      <w:autoSpaceDE/>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F0232C"/>
    <w:pPr>
      <w:keepNext/>
      <w:keepLines/>
      <w:suppressAutoHyphens w:val="0"/>
      <w:overflowPunct/>
      <w:autoSpaceDE/>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0232C"/>
    <w:pPr>
      <w:keepNext/>
      <w:keepLines/>
      <w:suppressAutoHyphens w:val="0"/>
      <w:overflowPunct/>
      <w:autoSpaceDE/>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F0232C"/>
    <w:pPr>
      <w:keepNext/>
      <w:keepLines/>
      <w:suppressAutoHyphens w:val="0"/>
      <w:overflowPunct/>
      <w:autoSpaceDE/>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F0232C"/>
    <w:pPr>
      <w:keepNext/>
      <w:keepLines/>
      <w:suppressAutoHyphens w:val="0"/>
      <w:overflowPunct/>
      <w:autoSpaceDE/>
      <w:autoSpaceDN/>
      <w:spacing w:before="40" w:line="278" w:lineRule="auto"/>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F0232C"/>
    <w:pPr>
      <w:keepNext/>
      <w:keepLines/>
      <w:suppressAutoHyphens w:val="0"/>
      <w:overflowPunct/>
      <w:autoSpaceDE/>
      <w:autoSpaceDN/>
      <w:spacing w:before="40" w:line="278" w:lineRule="auto"/>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F0232C"/>
    <w:pPr>
      <w:keepNext/>
      <w:keepLines/>
      <w:suppressAutoHyphens w:val="0"/>
      <w:overflowPunct/>
      <w:autoSpaceDE/>
      <w:autoSpaceDN/>
      <w:spacing w:line="278" w:lineRule="auto"/>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F0232C"/>
    <w:pPr>
      <w:keepNext/>
      <w:keepLines/>
      <w:suppressAutoHyphens w:val="0"/>
      <w:overflowPunct/>
      <w:autoSpaceDE/>
      <w:autoSpaceDN/>
      <w:spacing w:line="278" w:lineRule="auto"/>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32C"/>
    <w:rPr>
      <w:rFonts w:eastAsiaTheme="majorEastAsia" w:cstheme="majorBidi"/>
      <w:color w:val="272727" w:themeColor="text1" w:themeTint="D8"/>
    </w:rPr>
  </w:style>
  <w:style w:type="paragraph" w:styleId="Title">
    <w:name w:val="Title"/>
    <w:basedOn w:val="Normal"/>
    <w:next w:val="Normal"/>
    <w:link w:val="TitleChar"/>
    <w:uiPriority w:val="10"/>
    <w:qFormat/>
    <w:rsid w:val="00F0232C"/>
    <w:pPr>
      <w:suppressAutoHyphens w:val="0"/>
      <w:overflowPunct/>
      <w:autoSpaceDE/>
      <w:autoSpaceDN/>
      <w:spacing w:after="80"/>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02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32C"/>
    <w:pPr>
      <w:numPr>
        <w:ilvl w:val="1"/>
      </w:numPr>
      <w:suppressAutoHyphens w:val="0"/>
      <w:overflowPunct/>
      <w:autoSpaceDE/>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02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32C"/>
    <w:pPr>
      <w:suppressAutoHyphens w:val="0"/>
      <w:overflowPunct/>
      <w:autoSpaceDE/>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F0232C"/>
    <w:rPr>
      <w:i/>
      <w:iCs/>
      <w:color w:val="404040" w:themeColor="text1" w:themeTint="BF"/>
    </w:rPr>
  </w:style>
  <w:style w:type="paragraph" w:styleId="ListParagraph">
    <w:name w:val="List Paragraph"/>
    <w:basedOn w:val="Normal"/>
    <w:uiPriority w:val="34"/>
    <w:qFormat/>
    <w:rsid w:val="00F0232C"/>
    <w:pPr>
      <w:suppressAutoHyphens w:val="0"/>
      <w:overflowPunct/>
      <w:autoSpaceDE/>
      <w:autoSpaceDN/>
      <w:spacing w:after="160" w:line="278" w:lineRule="auto"/>
      <w:ind w:left="720"/>
      <w:contextualSpacing/>
      <w:textAlignment w:val="auto"/>
    </w:pPr>
    <w:rPr>
      <w:rFonts w:asciiTheme="minorHAnsi" w:eastAsiaTheme="minorHAnsi" w:hAnsiTheme="minorHAnsi" w:cstheme="minorBidi"/>
      <w:color w:val="auto"/>
      <w:kern w:val="2"/>
      <w:szCs w:val="24"/>
      <w:lang w:eastAsia="en-US"/>
      <w14:ligatures w14:val="standardContextual"/>
    </w:rPr>
  </w:style>
  <w:style w:type="character" w:styleId="IntenseEmphasis">
    <w:name w:val="Intense Emphasis"/>
    <w:basedOn w:val="DefaultParagraphFont"/>
    <w:uiPriority w:val="21"/>
    <w:qFormat/>
    <w:rsid w:val="00F0232C"/>
    <w:rPr>
      <w:i/>
      <w:iCs/>
      <w:color w:val="0F4761" w:themeColor="accent1" w:themeShade="BF"/>
    </w:rPr>
  </w:style>
  <w:style w:type="paragraph" w:styleId="IntenseQuote">
    <w:name w:val="Intense Quote"/>
    <w:basedOn w:val="Normal"/>
    <w:next w:val="Normal"/>
    <w:link w:val="IntenseQuoteChar"/>
    <w:uiPriority w:val="30"/>
    <w:qFormat/>
    <w:rsid w:val="00F0232C"/>
    <w:pPr>
      <w:pBdr>
        <w:top w:val="single" w:sz="4" w:space="10" w:color="0F4761" w:themeColor="accent1" w:themeShade="BF"/>
        <w:bottom w:val="single" w:sz="4" w:space="10" w:color="0F4761" w:themeColor="accent1" w:themeShade="BF"/>
      </w:pBdr>
      <w:suppressAutoHyphens w:val="0"/>
      <w:overflowPunct/>
      <w:autoSpaceDE/>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F0232C"/>
    <w:rPr>
      <w:i/>
      <w:iCs/>
      <w:color w:val="0F4761" w:themeColor="accent1" w:themeShade="BF"/>
    </w:rPr>
  </w:style>
  <w:style w:type="character" w:styleId="IntenseReference">
    <w:name w:val="Intense Reference"/>
    <w:basedOn w:val="DefaultParagraphFont"/>
    <w:uiPriority w:val="32"/>
    <w:qFormat/>
    <w:rsid w:val="00F023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Robinson</dc:creator>
  <cp:keywords/>
  <dc:description/>
  <cp:lastModifiedBy>Larry Robinson</cp:lastModifiedBy>
  <cp:revision>1</cp:revision>
  <dcterms:created xsi:type="dcterms:W3CDTF">2026-08-06T13:44:00Z</dcterms:created>
  <dcterms:modified xsi:type="dcterms:W3CDTF">2026-08-06T13:45:00Z</dcterms:modified>
</cp:coreProperties>
</file>