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BA12" w14:textId="77777777" w:rsidR="006812F1" w:rsidRDefault="006812F1" w:rsidP="006812F1">
      <w:pPr>
        <w:jc w:val="center"/>
        <w:rPr>
          <w:b/>
          <w:sz w:val="28"/>
          <w:szCs w:val="28"/>
        </w:rPr>
      </w:pPr>
      <w:r>
        <w:rPr>
          <w:b/>
          <w:sz w:val="28"/>
          <w:szCs w:val="28"/>
        </w:rPr>
        <w:t>WHAT</w:t>
      </w:r>
    </w:p>
    <w:p w14:paraId="379B135D" w14:textId="77777777" w:rsidR="006812F1" w:rsidRDefault="006812F1" w:rsidP="006812F1">
      <w:pPr>
        <w:jc w:val="center"/>
        <w:rPr>
          <w:b/>
          <w:sz w:val="28"/>
          <w:szCs w:val="28"/>
        </w:rPr>
      </w:pPr>
      <w:r>
        <w:rPr>
          <w:b/>
          <w:sz w:val="28"/>
          <w:szCs w:val="28"/>
        </w:rPr>
        <w:t xml:space="preserve">OUR GIVING </w:t>
      </w:r>
    </w:p>
    <w:p w14:paraId="5342B3EC" w14:textId="77777777" w:rsidR="006812F1" w:rsidRDefault="006812F1" w:rsidP="006812F1">
      <w:pPr>
        <w:jc w:val="center"/>
        <w:rPr>
          <w:b/>
          <w:sz w:val="28"/>
          <w:szCs w:val="28"/>
        </w:rPr>
      </w:pPr>
      <w:r>
        <w:rPr>
          <w:b/>
          <w:sz w:val="28"/>
          <w:szCs w:val="28"/>
        </w:rPr>
        <w:t>ACCOMPLISHES</w:t>
      </w:r>
    </w:p>
    <w:p w14:paraId="40FD361B" w14:textId="77777777" w:rsidR="006812F1" w:rsidRDefault="006812F1" w:rsidP="006812F1">
      <w:pPr>
        <w:jc w:val="center"/>
        <w:rPr>
          <w:b/>
          <w:sz w:val="28"/>
          <w:szCs w:val="28"/>
        </w:rPr>
      </w:pPr>
      <w:r>
        <w:rPr>
          <w:b/>
          <w:sz w:val="28"/>
          <w:szCs w:val="28"/>
        </w:rPr>
        <w:t>-----</w:t>
      </w:r>
    </w:p>
    <w:p w14:paraId="4D118DB0" w14:textId="77777777" w:rsidR="006812F1" w:rsidRDefault="006812F1" w:rsidP="006812F1">
      <w:pPr>
        <w:jc w:val="center"/>
        <w:rPr>
          <w:b/>
          <w:sz w:val="28"/>
          <w:szCs w:val="28"/>
        </w:rPr>
      </w:pPr>
      <w:r>
        <w:rPr>
          <w:b/>
          <w:sz w:val="28"/>
          <w:szCs w:val="28"/>
        </w:rPr>
        <w:t>GOD’S PROVISON FOR HIS MINISTRY</w:t>
      </w:r>
    </w:p>
    <w:p w14:paraId="357577A6" w14:textId="77777777" w:rsidR="006812F1" w:rsidRDefault="006812F1" w:rsidP="006812F1">
      <w:pPr>
        <w:jc w:val="center"/>
        <w:rPr>
          <w:b/>
          <w:sz w:val="28"/>
          <w:szCs w:val="28"/>
        </w:rPr>
      </w:pPr>
    </w:p>
    <w:p w14:paraId="767BE58E" w14:textId="77777777" w:rsidR="006812F1" w:rsidRDefault="006812F1" w:rsidP="006812F1">
      <w:pPr>
        <w:jc w:val="center"/>
        <w:rPr>
          <w:b/>
          <w:sz w:val="28"/>
          <w:szCs w:val="28"/>
        </w:rPr>
      </w:pPr>
    </w:p>
    <w:p w14:paraId="0A227904" w14:textId="77777777" w:rsidR="006812F1" w:rsidRDefault="006812F1" w:rsidP="006812F1">
      <w:pPr>
        <w:rPr>
          <w:b/>
          <w:szCs w:val="24"/>
        </w:rPr>
      </w:pPr>
      <w:r>
        <w:rPr>
          <w:b/>
          <w:szCs w:val="24"/>
        </w:rPr>
        <w:t>Food For Thought</w:t>
      </w:r>
    </w:p>
    <w:p w14:paraId="67894ED0" w14:textId="77777777" w:rsidR="006812F1" w:rsidRDefault="006812F1" w:rsidP="006812F1">
      <w:pPr>
        <w:overflowPunct/>
        <w:ind w:left="720"/>
        <w:textAlignment w:val="auto"/>
        <w:rPr>
          <w:szCs w:val="24"/>
          <w:shd w:val="clear" w:color="auto" w:fill="FFFFFF"/>
          <w:lang w:eastAsia="en-US"/>
        </w:rPr>
      </w:pPr>
      <w:r>
        <w:rPr>
          <w:szCs w:val="24"/>
          <w:shd w:val="clear" w:color="auto" w:fill="FFFFFF"/>
          <w:lang w:eastAsia="en-US"/>
        </w:rPr>
        <w:t xml:space="preserve">While the budget chairperson for my local church, I observed that many Christians struggle with the quantity of church funds that are expended for the compensation of church workers and benevolence ministries. For some, it seems easier for them to support the idea of ministry programs than to directly support the people who serve in ministry or are served by ministry. I am aware that many of us have grown more comfortable with models of church </w:t>
      </w:r>
      <w:proofErr w:type="gramStart"/>
      <w:r>
        <w:rPr>
          <w:szCs w:val="24"/>
          <w:shd w:val="clear" w:color="auto" w:fill="FFFFFF"/>
          <w:lang w:eastAsia="en-US"/>
        </w:rPr>
        <w:t>finances</w:t>
      </w:r>
      <w:proofErr w:type="gramEnd"/>
      <w:r>
        <w:rPr>
          <w:szCs w:val="24"/>
          <w:shd w:val="clear" w:color="auto" w:fill="FFFFFF"/>
          <w:lang w:eastAsia="en-US"/>
        </w:rPr>
        <w:t xml:space="preserve"> that are more dependent upon staff volunteerism than models that are based on fair staff compensation. I am also aware that those who are not recipients of benevolence may periodically question the prudence of help extended to others. The support extended to the church staff members and the less fortunate are characterized by some as poor stewardship. </w:t>
      </w:r>
    </w:p>
    <w:p w14:paraId="19A182E4" w14:textId="77777777" w:rsidR="006812F1" w:rsidRDefault="006812F1" w:rsidP="006812F1">
      <w:pPr>
        <w:overflowPunct/>
        <w:ind w:left="720"/>
        <w:textAlignment w:val="auto"/>
        <w:rPr>
          <w:szCs w:val="24"/>
          <w:shd w:val="clear" w:color="auto" w:fill="FFFFFF"/>
          <w:lang w:eastAsia="en-US"/>
        </w:rPr>
      </w:pPr>
    </w:p>
    <w:p w14:paraId="64272BEF" w14:textId="77777777" w:rsidR="006812F1" w:rsidRDefault="006812F1" w:rsidP="006812F1">
      <w:pPr>
        <w:overflowPunct/>
        <w:ind w:left="720"/>
        <w:textAlignment w:val="auto"/>
        <w:rPr>
          <w:szCs w:val="24"/>
          <w:shd w:val="clear" w:color="auto" w:fill="FFFFFF"/>
          <w:lang w:eastAsia="en-US"/>
        </w:rPr>
      </w:pPr>
      <w:r>
        <w:rPr>
          <w:szCs w:val="24"/>
          <w:shd w:val="clear" w:color="auto" w:fill="FFFFFF"/>
          <w:lang w:eastAsia="en-US"/>
        </w:rPr>
        <w:t>Yet the familiar scripture, Malachi 3:10 still reads:</w:t>
      </w:r>
    </w:p>
    <w:p w14:paraId="4DCD5820" w14:textId="77777777" w:rsidR="006812F1" w:rsidRDefault="006812F1" w:rsidP="006812F1">
      <w:pPr>
        <w:overflowPunct/>
        <w:ind w:left="720"/>
        <w:textAlignment w:val="auto"/>
        <w:rPr>
          <w:szCs w:val="24"/>
          <w:shd w:val="clear" w:color="auto" w:fill="FFFFFF"/>
          <w:lang w:eastAsia="en-US"/>
        </w:rPr>
      </w:pPr>
      <w:r>
        <w:rPr>
          <w:szCs w:val="24"/>
          <w:shd w:val="clear" w:color="auto" w:fill="FFFFFF"/>
          <w:lang w:eastAsia="en-US"/>
        </w:rPr>
        <w:t xml:space="preserve">“Bring the whole tithe into the storehouse, that there may be food in my house….” </w:t>
      </w:r>
    </w:p>
    <w:p w14:paraId="59BA9778" w14:textId="77777777" w:rsidR="006812F1" w:rsidRDefault="006812F1" w:rsidP="006812F1">
      <w:pPr>
        <w:rPr>
          <w:szCs w:val="24"/>
        </w:rPr>
      </w:pPr>
    </w:p>
    <w:p w14:paraId="6651BA3F" w14:textId="77777777" w:rsidR="006812F1" w:rsidRDefault="006812F1" w:rsidP="006812F1">
      <w:pPr>
        <w:ind w:left="720"/>
        <w:rPr>
          <w:szCs w:val="24"/>
        </w:rPr>
      </w:pPr>
      <w:r>
        <w:rPr>
          <w:szCs w:val="24"/>
        </w:rPr>
        <w:t xml:space="preserve">I wonder how often we consider the practical intent of that statement. The food wasn’t simply for ministry programs. It was for people. It was for the workers of ministry and the less fortunate. The model was designed by God. It reflected His original intent for the support of ministry </w:t>
      </w:r>
      <w:proofErr w:type="gramStart"/>
      <w:r>
        <w:rPr>
          <w:szCs w:val="24"/>
        </w:rPr>
        <w:t>efforts</w:t>
      </w:r>
      <w:proofErr w:type="gramEnd"/>
      <w:r>
        <w:rPr>
          <w:szCs w:val="24"/>
        </w:rPr>
        <w:t xml:space="preserve"> and I believe it continues to be His intent today.</w:t>
      </w:r>
    </w:p>
    <w:p w14:paraId="6862F30D" w14:textId="77777777" w:rsidR="006812F1" w:rsidRDefault="006812F1" w:rsidP="006812F1">
      <w:pPr>
        <w:jc w:val="both"/>
        <w:rPr>
          <w:b/>
          <w:szCs w:val="24"/>
        </w:rPr>
      </w:pPr>
    </w:p>
    <w:p w14:paraId="371336B4" w14:textId="77777777" w:rsidR="006812F1" w:rsidRPr="00B558A7" w:rsidRDefault="006812F1" w:rsidP="006812F1">
      <w:pPr>
        <w:pStyle w:val="Heading3"/>
        <w:spacing w:before="0" w:after="0"/>
        <w:jc w:val="both"/>
        <w:rPr>
          <w:b/>
          <w:bCs/>
          <w:color w:val="auto"/>
          <w:sz w:val="24"/>
          <w:szCs w:val="24"/>
        </w:rPr>
      </w:pPr>
      <w:bookmarkStart w:id="0" w:name="_Toc101490130"/>
      <w:r w:rsidRPr="00B558A7">
        <w:rPr>
          <w:b/>
          <w:bCs/>
          <w:color w:val="auto"/>
          <w:sz w:val="24"/>
          <w:szCs w:val="24"/>
        </w:rPr>
        <w:t>Reference Scriptures</w:t>
      </w:r>
      <w:bookmarkEnd w:id="0"/>
    </w:p>
    <w:p w14:paraId="77267054" w14:textId="77777777" w:rsidR="006812F1" w:rsidRDefault="006812F1" w:rsidP="006812F1">
      <w:pPr>
        <w:pStyle w:val="Heading7"/>
        <w:spacing w:before="0"/>
        <w:ind w:left="720"/>
        <w:jc w:val="both"/>
      </w:pPr>
      <w:r>
        <w:t>Luke 10: 1-9</w:t>
      </w:r>
    </w:p>
    <w:p w14:paraId="18B037A9" w14:textId="77777777" w:rsidR="006812F1" w:rsidRDefault="006812F1" w:rsidP="006812F1">
      <w:pPr>
        <w:ind w:left="720"/>
        <w:jc w:val="both"/>
        <w:rPr>
          <w:szCs w:val="24"/>
        </w:rPr>
      </w:pPr>
      <w:r>
        <w:rPr>
          <w:szCs w:val="24"/>
        </w:rPr>
        <w:t>Matt. 25: 31-45</w:t>
      </w:r>
    </w:p>
    <w:p w14:paraId="3B540CA9" w14:textId="77777777" w:rsidR="006812F1" w:rsidRDefault="006812F1" w:rsidP="006812F1">
      <w:pPr>
        <w:ind w:left="720"/>
        <w:jc w:val="both"/>
        <w:rPr>
          <w:szCs w:val="24"/>
        </w:rPr>
      </w:pPr>
      <w:r>
        <w:rPr>
          <w:szCs w:val="24"/>
        </w:rPr>
        <w:t>John 6: 1-13</w:t>
      </w:r>
    </w:p>
    <w:p w14:paraId="22768710" w14:textId="77777777" w:rsidR="006812F1" w:rsidRDefault="006812F1" w:rsidP="006812F1">
      <w:pPr>
        <w:ind w:left="720"/>
        <w:jc w:val="both"/>
        <w:rPr>
          <w:szCs w:val="24"/>
        </w:rPr>
      </w:pPr>
    </w:p>
    <w:p w14:paraId="38283838" w14:textId="77777777" w:rsidR="006812F1" w:rsidRDefault="006812F1" w:rsidP="006812F1">
      <w:pPr>
        <w:jc w:val="both"/>
        <w:rPr>
          <w:b/>
          <w:szCs w:val="24"/>
        </w:rPr>
      </w:pPr>
      <w:r>
        <w:rPr>
          <w:b/>
          <w:szCs w:val="24"/>
        </w:rPr>
        <w:t>Connecting The Dots – What God has allowed me to see</w:t>
      </w:r>
    </w:p>
    <w:p w14:paraId="7A019A27" w14:textId="77777777" w:rsidR="006812F1" w:rsidRDefault="006812F1" w:rsidP="006812F1">
      <w:pPr>
        <w:ind w:left="720"/>
        <w:rPr>
          <w:szCs w:val="24"/>
        </w:rPr>
      </w:pPr>
      <w:r>
        <w:rPr>
          <w:szCs w:val="24"/>
        </w:rPr>
        <w:t xml:space="preserve">It is clear from each of these passages that Jesus expects the support of ministry to come from the church and that He considers ministering to the less fortunate as a ministry priority. The burden of support may seem impractical or even impossible, but Jesus spoke these words without repentance. Christians seek to shrink back from the task for different reasons. Some try to implement seemingly more practical models or supplements to God’s plan. However, the practical is often not the path of God’s leading to achieve His spiritual purposes. Others seek a theological release by questioning whether the Old Testament model of financial support for ministry is applicable to the New Testament church. However, our reference scriptures are the words of Jesus not the words of Moses. </w:t>
      </w:r>
    </w:p>
    <w:p w14:paraId="2A83B3E5" w14:textId="77777777" w:rsidR="006812F1" w:rsidRDefault="006812F1" w:rsidP="006812F1">
      <w:pPr>
        <w:ind w:left="720"/>
        <w:rPr>
          <w:szCs w:val="24"/>
        </w:rPr>
      </w:pPr>
    </w:p>
    <w:p w14:paraId="1999170F" w14:textId="77777777" w:rsidR="006812F1" w:rsidRDefault="006812F1" w:rsidP="006812F1">
      <w:pPr>
        <w:ind w:left="720"/>
        <w:rPr>
          <w:szCs w:val="24"/>
        </w:rPr>
      </w:pPr>
      <w:r>
        <w:rPr>
          <w:szCs w:val="24"/>
        </w:rPr>
        <w:t xml:space="preserve">In the passage in Luke, Jesus instructed those he sent forth in ministry not to take any extra provision for themselves (neither purse, nor bag, nor extra sandals). They were to </w:t>
      </w:r>
      <w:r>
        <w:rPr>
          <w:szCs w:val="24"/>
        </w:rPr>
        <w:lastRenderedPageBreak/>
        <w:t xml:space="preserve">rely on the provision given by those to whom they ministered. The essence of Jesus’ instructions is no different than God’s Old Testament model. </w:t>
      </w:r>
    </w:p>
    <w:p w14:paraId="21165D23" w14:textId="77777777" w:rsidR="006812F1" w:rsidRDefault="006812F1" w:rsidP="006812F1">
      <w:pPr>
        <w:rPr>
          <w:szCs w:val="24"/>
        </w:rPr>
      </w:pPr>
    </w:p>
    <w:p w14:paraId="71FFD483" w14:textId="77777777" w:rsidR="006812F1" w:rsidRDefault="006812F1" w:rsidP="006812F1">
      <w:pPr>
        <w:ind w:left="720"/>
        <w:rPr>
          <w:szCs w:val="24"/>
        </w:rPr>
      </w:pPr>
      <w:r>
        <w:rPr>
          <w:szCs w:val="24"/>
        </w:rPr>
        <w:t xml:space="preserve">When Israel </w:t>
      </w:r>
      <w:proofErr w:type="gramStart"/>
      <w:r>
        <w:rPr>
          <w:szCs w:val="24"/>
        </w:rPr>
        <w:t>entered into</w:t>
      </w:r>
      <w:proofErr w:type="gramEnd"/>
      <w:r>
        <w:rPr>
          <w:szCs w:val="24"/>
        </w:rPr>
        <w:t xml:space="preserve"> the “promised land” </w:t>
      </w:r>
      <w:proofErr w:type="gramStart"/>
      <w:r>
        <w:rPr>
          <w:szCs w:val="24"/>
        </w:rPr>
        <w:t>all of</w:t>
      </w:r>
      <w:proofErr w:type="gramEnd"/>
      <w:r>
        <w:rPr>
          <w:szCs w:val="24"/>
        </w:rPr>
        <w:t xml:space="preserve"> the tribes were given a portion of land as an inheritance except the tribe of Levi. The tribe of Levi was comprised of the priests and all the other workers of ministry. The tribe of Levi was not given any land of their own to earn their provision. God made the tribe of Levi totally dependent on the various offerings that Israel gave to Him. This was not their </w:t>
      </w:r>
      <w:proofErr w:type="gramStart"/>
      <w:r>
        <w:rPr>
          <w:szCs w:val="24"/>
        </w:rPr>
        <w:t>request,</w:t>
      </w:r>
      <w:proofErr w:type="gramEnd"/>
      <w:r>
        <w:rPr>
          <w:szCs w:val="24"/>
        </w:rPr>
        <w:t xml:space="preserve"> it was God’s plan. </w:t>
      </w:r>
    </w:p>
    <w:p w14:paraId="7E88ACC2" w14:textId="77777777" w:rsidR="006812F1" w:rsidRDefault="006812F1" w:rsidP="006812F1">
      <w:pPr>
        <w:rPr>
          <w:szCs w:val="24"/>
        </w:rPr>
      </w:pPr>
    </w:p>
    <w:p w14:paraId="5C588264" w14:textId="77777777" w:rsidR="006812F1" w:rsidRDefault="006812F1" w:rsidP="006812F1">
      <w:pPr>
        <w:ind w:left="720"/>
        <w:rPr>
          <w:szCs w:val="24"/>
        </w:rPr>
      </w:pPr>
      <w:r>
        <w:rPr>
          <w:szCs w:val="24"/>
        </w:rPr>
        <w:t xml:space="preserve">Numbers 18:8-20 </w:t>
      </w:r>
      <w:proofErr w:type="gramStart"/>
      <w:r>
        <w:rPr>
          <w:szCs w:val="24"/>
        </w:rPr>
        <w:t>clarifies</w:t>
      </w:r>
      <w:proofErr w:type="gramEnd"/>
      <w:r>
        <w:rPr>
          <w:szCs w:val="24"/>
        </w:rPr>
        <w:t xml:space="preserve"> that the offerings (not just the tithes) were also given to the Levites. Verses 8 and 11 calls this gift “ your regular share”, verse 19 says “It is an everlasting covenant of salt before the Lord for both you and your offspring” and verse 23 says “This is a lasting ordinance for the generations to come.” That doesn’t sound like a temporary plan to me. </w:t>
      </w:r>
    </w:p>
    <w:p w14:paraId="4A8F102B" w14:textId="77777777" w:rsidR="006812F1" w:rsidRDefault="006812F1" w:rsidP="006812F1">
      <w:pPr>
        <w:rPr>
          <w:szCs w:val="24"/>
        </w:rPr>
      </w:pPr>
    </w:p>
    <w:p w14:paraId="6D6C134A" w14:textId="77777777" w:rsidR="006812F1" w:rsidRDefault="006812F1" w:rsidP="006812F1">
      <w:pPr>
        <w:ind w:left="720"/>
        <w:rPr>
          <w:szCs w:val="24"/>
        </w:rPr>
      </w:pPr>
      <w:r>
        <w:rPr>
          <w:szCs w:val="24"/>
        </w:rPr>
        <w:t>While the scripture in Numbers focuses on the first tithe which provided exclusively for support of the workers of ministry, the scripture in Deuteronomy 26:12 &amp; 14:28-29 speak of tithe that was taken every third year. This tithe supplied provision for ministering to the tangible needs of the less fortunate. In Matt 25: 31-46, Jesus continued this principle by communicating His priority for our ministering to the less fortunate. He states that at His second coming He will commend and condemn those gathered before Him based on their response to the needs of the hungry, the naked, the homeless, the sick and those in prison. He characterizes our response to those in need as equating to our response to Him. Just as the offerings in the Old Testament were considered offerings to God, Jesus equates our ministry to the less fortunate as ministry unto Him.</w:t>
      </w:r>
    </w:p>
    <w:p w14:paraId="662CFDA2" w14:textId="77777777" w:rsidR="006812F1" w:rsidRDefault="006812F1" w:rsidP="006812F1">
      <w:pPr>
        <w:rPr>
          <w:szCs w:val="24"/>
        </w:rPr>
      </w:pPr>
      <w:r>
        <w:rPr>
          <w:szCs w:val="24"/>
        </w:rPr>
        <w:tab/>
      </w:r>
    </w:p>
    <w:p w14:paraId="670B2483" w14:textId="77777777" w:rsidR="006812F1" w:rsidRDefault="006812F1" w:rsidP="006812F1">
      <w:pPr>
        <w:overflowPunct/>
        <w:spacing w:after="60"/>
        <w:ind w:left="720"/>
        <w:textAlignment w:val="auto"/>
        <w:rPr>
          <w:szCs w:val="24"/>
        </w:rPr>
      </w:pPr>
      <w:r>
        <w:rPr>
          <w:szCs w:val="24"/>
        </w:rPr>
        <w:t>The natural question we ask is: How can we meet such a great need? The answer lies in following God’s plan. A wonderful illustration is provided in the accounts of Jesus feeding the 5000.</w:t>
      </w:r>
    </w:p>
    <w:p w14:paraId="3184AEAD" w14:textId="77777777" w:rsidR="006812F1" w:rsidRDefault="006812F1" w:rsidP="006812F1">
      <w:pPr>
        <w:overflowPunct/>
        <w:spacing w:after="60"/>
        <w:ind w:left="720"/>
        <w:textAlignment w:val="auto"/>
        <w:rPr>
          <w:szCs w:val="24"/>
        </w:rPr>
      </w:pPr>
    </w:p>
    <w:p w14:paraId="4A2DEAB4" w14:textId="77777777" w:rsidR="006812F1" w:rsidRDefault="006812F1" w:rsidP="006812F1">
      <w:pPr>
        <w:overflowPunct/>
        <w:spacing w:after="60"/>
        <w:ind w:left="720"/>
        <w:textAlignment w:val="auto"/>
        <w:rPr>
          <w:szCs w:val="24"/>
        </w:rPr>
      </w:pPr>
      <w:r>
        <w:rPr>
          <w:szCs w:val="24"/>
        </w:rPr>
        <w:t xml:space="preserve">Jesus asks Philip the rhetorical question of how to feed the multitude. To Philip, meeting the need seemed an impossibility. The accounts of this event written by Matthew and Luke </w:t>
      </w:r>
      <w:proofErr w:type="gramStart"/>
      <w:r>
        <w:rPr>
          <w:szCs w:val="24"/>
        </w:rPr>
        <w:t>reveals</w:t>
      </w:r>
      <w:proofErr w:type="gramEnd"/>
      <w:r>
        <w:rPr>
          <w:szCs w:val="24"/>
        </w:rPr>
        <w:t xml:space="preserve"> that the disciples wanted to send the crowd away. The offering of a young boy’s lunch seemed woefully insufficient and yet it was all that was needed. Their apparent lack turned into abundance because of God’s blessing.</w:t>
      </w:r>
    </w:p>
    <w:p w14:paraId="5E91DCA5" w14:textId="77777777" w:rsidR="006812F1" w:rsidRDefault="006812F1" w:rsidP="006812F1">
      <w:pPr>
        <w:overflowPunct/>
        <w:spacing w:after="60"/>
        <w:ind w:left="720"/>
        <w:textAlignment w:val="auto"/>
        <w:rPr>
          <w:szCs w:val="24"/>
        </w:rPr>
      </w:pPr>
    </w:p>
    <w:p w14:paraId="1CCA9D4E" w14:textId="77777777" w:rsidR="006812F1" w:rsidRDefault="006812F1" w:rsidP="006812F1">
      <w:pPr>
        <w:overflowPunct/>
        <w:spacing w:after="60"/>
        <w:ind w:left="720"/>
        <w:textAlignment w:val="auto"/>
        <w:rPr>
          <w:szCs w:val="24"/>
        </w:rPr>
      </w:pPr>
      <w:r>
        <w:rPr>
          <w:szCs w:val="24"/>
        </w:rPr>
        <w:t xml:space="preserve">When God’s people give in accordance with His purposes and plan it accomplishes God’s provision for ministry. Our gifts and God’s blessing are all that are required to generate more than we have room to receive. We don’t need to question the </w:t>
      </w:r>
      <w:proofErr w:type="gramStart"/>
      <w:r>
        <w:rPr>
          <w:szCs w:val="24"/>
        </w:rPr>
        <w:t>blessing,</w:t>
      </w:r>
      <w:proofErr w:type="gramEnd"/>
      <w:r>
        <w:rPr>
          <w:szCs w:val="24"/>
        </w:rPr>
        <w:t xml:space="preserve"> it has already been promised.</w:t>
      </w:r>
    </w:p>
    <w:p w14:paraId="24017A60" w14:textId="77777777" w:rsidR="006812F1" w:rsidRDefault="006812F1" w:rsidP="006812F1">
      <w:pPr>
        <w:overflowPunct/>
        <w:spacing w:after="60"/>
        <w:ind w:left="720"/>
        <w:textAlignment w:val="auto"/>
        <w:rPr>
          <w:szCs w:val="24"/>
        </w:rPr>
      </w:pPr>
    </w:p>
    <w:p w14:paraId="67C081D3" w14:textId="77777777" w:rsidR="006812F1" w:rsidRDefault="006812F1" w:rsidP="006812F1">
      <w:pPr>
        <w:overflowPunct/>
        <w:ind w:left="720"/>
        <w:textAlignment w:val="auto"/>
        <w:rPr>
          <w:szCs w:val="24"/>
          <w:shd w:val="clear" w:color="auto" w:fill="FFFFFF"/>
          <w:lang w:eastAsia="en-US"/>
        </w:rPr>
      </w:pPr>
      <w:r>
        <w:rPr>
          <w:szCs w:val="24"/>
          <w:shd w:val="clear" w:color="auto" w:fill="FFFFFF"/>
          <w:lang w:eastAsia="en-US"/>
        </w:rPr>
        <w:t xml:space="preserve">Malachi 3: 10 </w:t>
      </w:r>
    </w:p>
    <w:p w14:paraId="5F416A65" w14:textId="77777777" w:rsidR="006812F1" w:rsidRDefault="006812F1" w:rsidP="006812F1">
      <w:pPr>
        <w:keepLines/>
        <w:overflowPunct/>
        <w:ind w:left="720"/>
        <w:textAlignment w:val="auto"/>
      </w:pPr>
      <w:r>
        <w:rPr>
          <w:szCs w:val="24"/>
          <w:shd w:val="clear" w:color="auto" w:fill="FFFFFF"/>
          <w:lang w:eastAsia="en-US"/>
        </w:rPr>
        <w:t>“Bring the whole tithe</w:t>
      </w:r>
      <w:r>
        <w:rPr>
          <w:szCs w:val="24"/>
          <w:shd w:val="clear" w:color="auto" w:fill="FFFFFF"/>
          <w:vertAlign w:val="superscript"/>
          <w:lang w:eastAsia="en-US"/>
        </w:rPr>
        <w:t xml:space="preserve"> </w:t>
      </w:r>
      <w:r>
        <w:rPr>
          <w:szCs w:val="24"/>
          <w:shd w:val="clear" w:color="auto" w:fill="FFFFFF"/>
          <w:lang w:eastAsia="en-US"/>
        </w:rPr>
        <w:t>into the storehouse,</w:t>
      </w:r>
      <w:r>
        <w:rPr>
          <w:szCs w:val="24"/>
          <w:shd w:val="clear" w:color="auto" w:fill="FFFFFF"/>
          <w:vertAlign w:val="superscript"/>
          <w:lang w:eastAsia="en-US"/>
        </w:rPr>
        <w:t xml:space="preserve"> </w:t>
      </w:r>
      <w:r>
        <w:rPr>
          <w:szCs w:val="24"/>
          <w:shd w:val="clear" w:color="auto" w:fill="FFFFFF"/>
          <w:lang w:eastAsia="en-US"/>
        </w:rPr>
        <w:t xml:space="preserve">that there may be food in my house. Test me in this,” says the </w:t>
      </w:r>
      <w:r>
        <w:rPr>
          <w:smallCaps/>
          <w:szCs w:val="24"/>
          <w:shd w:val="clear" w:color="auto" w:fill="FFFFFF"/>
          <w:lang w:eastAsia="en-US"/>
        </w:rPr>
        <w:t xml:space="preserve">LORD </w:t>
      </w:r>
      <w:r>
        <w:rPr>
          <w:szCs w:val="24"/>
          <w:shd w:val="clear" w:color="auto" w:fill="FFFFFF"/>
          <w:lang w:eastAsia="en-US"/>
        </w:rPr>
        <w:t>Almighty, “and see if I will not throw open the floodgates</w:t>
      </w:r>
      <w:r>
        <w:rPr>
          <w:szCs w:val="24"/>
          <w:shd w:val="clear" w:color="auto" w:fill="FFFFFF"/>
          <w:vertAlign w:val="superscript"/>
          <w:lang w:eastAsia="en-US"/>
        </w:rPr>
        <w:t xml:space="preserve"> </w:t>
      </w:r>
      <w:r>
        <w:rPr>
          <w:szCs w:val="24"/>
          <w:shd w:val="clear" w:color="auto" w:fill="FFFFFF"/>
          <w:lang w:eastAsia="en-US"/>
        </w:rPr>
        <w:t>of heaven and pour out</w:t>
      </w:r>
      <w:r>
        <w:rPr>
          <w:szCs w:val="24"/>
          <w:shd w:val="clear" w:color="auto" w:fill="FFFFFF"/>
          <w:vertAlign w:val="superscript"/>
          <w:lang w:eastAsia="en-US"/>
        </w:rPr>
        <w:t xml:space="preserve"> </w:t>
      </w:r>
      <w:r>
        <w:rPr>
          <w:szCs w:val="24"/>
          <w:shd w:val="clear" w:color="auto" w:fill="FFFFFF"/>
          <w:lang w:eastAsia="en-US"/>
        </w:rPr>
        <w:t>so much blessing</w:t>
      </w:r>
      <w:r>
        <w:rPr>
          <w:szCs w:val="24"/>
          <w:shd w:val="clear" w:color="auto" w:fill="FFFFFF"/>
          <w:vertAlign w:val="superscript"/>
          <w:lang w:eastAsia="en-US"/>
        </w:rPr>
        <w:t xml:space="preserve"> </w:t>
      </w:r>
      <w:r>
        <w:rPr>
          <w:szCs w:val="24"/>
          <w:shd w:val="clear" w:color="auto" w:fill="FFFFFF"/>
          <w:lang w:eastAsia="en-US"/>
        </w:rPr>
        <w:t>that you will not have room enough for it.</w:t>
      </w:r>
      <w:r>
        <w:rPr>
          <w:szCs w:val="24"/>
          <w:shd w:val="clear" w:color="auto" w:fill="FFFFFF"/>
          <w:vertAlign w:val="superscript"/>
          <w:lang w:eastAsia="en-US"/>
        </w:rPr>
        <w:t>”</w:t>
      </w:r>
    </w:p>
    <w:p w14:paraId="6B9B905C" w14:textId="77777777" w:rsidR="006812F1" w:rsidRDefault="006812F1" w:rsidP="006812F1">
      <w:pPr>
        <w:overflowPunct/>
        <w:spacing w:after="60"/>
        <w:ind w:left="720"/>
        <w:textAlignment w:val="auto"/>
        <w:rPr>
          <w:szCs w:val="24"/>
        </w:rPr>
      </w:pPr>
    </w:p>
    <w:p w14:paraId="49FE1A4C" w14:textId="77777777" w:rsidR="006812F1" w:rsidRDefault="006812F1" w:rsidP="006812F1">
      <w:pPr>
        <w:overflowPunct/>
        <w:spacing w:after="60"/>
        <w:ind w:left="720"/>
        <w:textAlignment w:val="auto"/>
        <w:rPr>
          <w:szCs w:val="24"/>
        </w:rPr>
      </w:pPr>
      <w:r>
        <w:rPr>
          <w:szCs w:val="24"/>
        </w:rPr>
        <w:t>Look at what God accomplished in ministry to the 5000 through a simple uninhibited offering. In response to Jesus’ call to “bring it to me”, the young boy gave what was asked of him. The boy gave, God blessed and the ministry need was met. If we lack provision for ministry today, maybe it is because we fail to answer God’s call that we bring to Him that which He asks of us.</w:t>
      </w:r>
    </w:p>
    <w:p w14:paraId="42F74401" w14:textId="77777777" w:rsidR="00D93B2A" w:rsidRDefault="00D93B2A"/>
    <w:sectPr w:rsidR="00D9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F1"/>
    <w:rsid w:val="00017E63"/>
    <w:rsid w:val="00180B11"/>
    <w:rsid w:val="006812F1"/>
    <w:rsid w:val="00CB0CBB"/>
    <w:rsid w:val="00D9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6573"/>
  <w15:chartTrackingRefBased/>
  <w15:docId w15:val="{A5C1F751-1754-434E-A2F9-2E8EE66F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F1"/>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0"/>
      <w:szCs w:val="20"/>
      <w:lang w:eastAsia="ar-SA"/>
      <w14:ligatures w14:val="none"/>
    </w:rPr>
  </w:style>
  <w:style w:type="paragraph" w:styleId="Heading1">
    <w:name w:val="heading 1"/>
    <w:basedOn w:val="Normal"/>
    <w:next w:val="Normal"/>
    <w:link w:val="Heading1Char"/>
    <w:uiPriority w:val="9"/>
    <w:qFormat/>
    <w:rsid w:val="006812F1"/>
    <w:pPr>
      <w:keepNext/>
      <w:keepLines/>
      <w:suppressAutoHyphens w:val="0"/>
      <w:overflowPunct/>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812F1"/>
    <w:pPr>
      <w:keepNext/>
      <w:keepLines/>
      <w:suppressAutoHyphens w:val="0"/>
      <w:overflowPunct/>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6812F1"/>
    <w:pPr>
      <w:keepNext/>
      <w:keepLines/>
      <w:suppressAutoHyphens w:val="0"/>
      <w:overflowPunct/>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812F1"/>
    <w:pPr>
      <w:keepNext/>
      <w:keepLines/>
      <w:suppressAutoHyphens w:val="0"/>
      <w:overflowPunct/>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6812F1"/>
    <w:pPr>
      <w:keepNext/>
      <w:keepLines/>
      <w:suppressAutoHyphens w:val="0"/>
      <w:overflowPunct/>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6812F1"/>
    <w:pPr>
      <w:keepNext/>
      <w:keepLines/>
      <w:suppressAutoHyphens w:val="0"/>
      <w:overflowPunct/>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nhideWhenUsed/>
    <w:qFormat/>
    <w:rsid w:val="006812F1"/>
    <w:pPr>
      <w:keepNext/>
      <w:keepLines/>
      <w:suppressAutoHyphens w:val="0"/>
      <w:overflowPunct/>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6812F1"/>
    <w:pPr>
      <w:keepNext/>
      <w:keepLines/>
      <w:suppressAutoHyphens w:val="0"/>
      <w:overflowPunct/>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6812F1"/>
    <w:pPr>
      <w:keepNext/>
      <w:keepLines/>
      <w:suppressAutoHyphens w:val="0"/>
      <w:overflowPunct/>
      <w:autoSpaceDE/>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F1"/>
    <w:rPr>
      <w:rFonts w:eastAsiaTheme="majorEastAsia" w:cstheme="majorBidi"/>
      <w:color w:val="272727" w:themeColor="text1" w:themeTint="D8"/>
    </w:rPr>
  </w:style>
  <w:style w:type="paragraph" w:styleId="Title">
    <w:name w:val="Title"/>
    <w:basedOn w:val="Normal"/>
    <w:next w:val="Normal"/>
    <w:link w:val="TitleChar"/>
    <w:uiPriority w:val="10"/>
    <w:qFormat/>
    <w:rsid w:val="006812F1"/>
    <w:pPr>
      <w:suppressAutoHyphens w:val="0"/>
      <w:overflowPunct/>
      <w:autoSpaceDE/>
      <w:autoSpaceDN/>
      <w:spacing w:after="80"/>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81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F1"/>
    <w:pPr>
      <w:numPr>
        <w:ilvl w:val="1"/>
      </w:numPr>
      <w:suppressAutoHyphens w:val="0"/>
      <w:overflowPunct/>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81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F1"/>
    <w:pPr>
      <w:suppressAutoHyphens w:val="0"/>
      <w:overflowPunct/>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6812F1"/>
    <w:rPr>
      <w:i/>
      <w:iCs/>
      <w:color w:val="404040" w:themeColor="text1" w:themeTint="BF"/>
    </w:rPr>
  </w:style>
  <w:style w:type="paragraph" w:styleId="ListParagraph">
    <w:name w:val="List Paragraph"/>
    <w:basedOn w:val="Normal"/>
    <w:uiPriority w:val="34"/>
    <w:qFormat/>
    <w:rsid w:val="006812F1"/>
    <w:pPr>
      <w:suppressAutoHyphens w:val="0"/>
      <w:overflowPunct/>
      <w:autoSpaceDE/>
      <w:autoSpaceDN/>
      <w:spacing w:after="160" w:line="278" w:lineRule="auto"/>
      <w:ind w:left="720"/>
      <w:contextualSpacing/>
      <w:textAlignment w:val="auto"/>
    </w:pPr>
    <w:rPr>
      <w:rFonts w:asciiTheme="minorHAnsi" w:eastAsiaTheme="minorHAnsi" w:hAnsiTheme="minorHAnsi" w:cstheme="minorBidi"/>
      <w:color w:val="auto"/>
      <w:kern w:val="2"/>
      <w:szCs w:val="24"/>
      <w:lang w:eastAsia="en-US"/>
      <w14:ligatures w14:val="standardContextual"/>
    </w:rPr>
  </w:style>
  <w:style w:type="character" w:styleId="IntenseEmphasis">
    <w:name w:val="Intense Emphasis"/>
    <w:basedOn w:val="DefaultParagraphFont"/>
    <w:uiPriority w:val="21"/>
    <w:qFormat/>
    <w:rsid w:val="006812F1"/>
    <w:rPr>
      <w:i/>
      <w:iCs/>
      <w:color w:val="0F4761" w:themeColor="accent1" w:themeShade="BF"/>
    </w:rPr>
  </w:style>
  <w:style w:type="paragraph" w:styleId="IntenseQuote">
    <w:name w:val="Intense Quote"/>
    <w:basedOn w:val="Normal"/>
    <w:next w:val="Normal"/>
    <w:link w:val="IntenseQuoteChar"/>
    <w:uiPriority w:val="30"/>
    <w:qFormat/>
    <w:rsid w:val="006812F1"/>
    <w:pPr>
      <w:pBdr>
        <w:top w:val="single" w:sz="4" w:space="10" w:color="0F4761" w:themeColor="accent1" w:themeShade="BF"/>
        <w:bottom w:val="single" w:sz="4" w:space="10" w:color="0F4761" w:themeColor="accent1" w:themeShade="BF"/>
      </w:pBdr>
      <w:suppressAutoHyphens w:val="0"/>
      <w:overflowPunct/>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6812F1"/>
    <w:rPr>
      <w:i/>
      <w:iCs/>
      <w:color w:val="0F4761" w:themeColor="accent1" w:themeShade="BF"/>
    </w:rPr>
  </w:style>
  <w:style w:type="character" w:styleId="IntenseReference">
    <w:name w:val="Intense Reference"/>
    <w:basedOn w:val="DefaultParagraphFont"/>
    <w:uiPriority w:val="32"/>
    <w:qFormat/>
    <w:rsid w:val="00681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4823</Characters>
  <Application>Microsoft Office Word</Application>
  <DocSecurity>0</DocSecurity>
  <Lines>120</Lines>
  <Paragraphs>28</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Robinson</dc:creator>
  <cp:keywords/>
  <dc:description/>
  <cp:lastModifiedBy>Larry Robinson</cp:lastModifiedBy>
  <cp:revision>1</cp:revision>
  <dcterms:created xsi:type="dcterms:W3CDTF">2026-05-04T12:17:00Z</dcterms:created>
  <dcterms:modified xsi:type="dcterms:W3CDTF">2026-05-04T12:24:00Z</dcterms:modified>
</cp:coreProperties>
</file>